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50" w:rsidRPr="000262B5" w:rsidRDefault="003E1C50" w:rsidP="003E1C50">
      <w:pPr>
        <w:jc w:val="center"/>
        <w:rPr>
          <w:rFonts w:ascii="Calibri" w:eastAsia="Calibri" w:hAnsi="Calibri" w:cs="Times New Roman"/>
          <w:b/>
          <w:sz w:val="32"/>
          <w:szCs w:val="32"/>
          <w:lang w:val="en-CA"/>
        </w:rPr>
      </w:pPr>
      <w:r w:rsidRPr="000262B5">
        <w:rPr>
          <w:rFonts w:ascii="Calibri" w:eastAsia="Calibri" w:hAnsi="Calibri" w:cs="Times New Roman"/>
          <w:b/>
          <w:sz w:val="32"/>
          <w:szCs w:val="32"/>
          <w:lang w:val="en-CA"/>
        </w:rPr>
        <w:t>Annual Workplan 2020-2021</w:t>
      </w:r>
    </w:p>
    <w:p w:rsidR="003E1C50" w:rsidRPr="000262B5" w:rsidRDefault="003E1C50" w:rsidP="003E1C50">
      <w:pPr>
        <w:rPr>
          <w:rFonts w:ascii="Calibri" w:eastAsia="Calibri" w:hAnsi="Calibri" w:cs="Times New Roman"/>
          <w:lang w:val="en-CA"/>
        </w:rPr>
      </w:pPr>
      <w:r w:rsidRPr="000262B5">
        <w:rPr>
          <w:rFonts w:ascii="Calibri" w:eastAsia="Calibri" w:hAnsi="Calibri" w:cs="Times New Roman"/>
          <w:b/>
          <w:lang w:val="en-CA"/>
        </w:rPr>
        <w:t>Vision</w:t>
      </w:r>
      <w:r w:rsidRPr="000262B5">
        <w:rPr>
          <w:rFonts w:ascii="Calibri" w:eastAsia="Calibri" w:hAnsi="Calibri" w:cs="Times New Roman"/>
          <w:lang w:val="en-CA"/>
        </w:rPr>
        <w:t xml:space="preserve">: </w:t>
      </w:r>
      <w:r w:rsidRPr="000262B5">
        <w:rPr>
          <w:rFonts w:ascii="Calibri" w:eastAsia="Calibri" w:hAnsi="Calibri" w:cs="Times New Roman"/>
          <w:lang w:val="en-CA"/>
        </w:rPr>
        <w:br/>
      </w:r>
      <w:r w:rsidRPr="000262B5">
        <w:rPr>
          <w:rFonts w:ascii="Calibri" w:eastAsia="Calibri" w:hAnsi="Calibri" w:cs="Times New Roman"/>
          <w:lang w:val="en-CA"/>
        </w:rPr>
        <w:br/>
        <w:t>Children and youth in Canada thriving in school communities that are committed to optimal health, well-being, and learning</w:t>
      </w:r>
    </w:p>
    <w:p w:rsidR="003E1C50" w:rsidRDefault="003E1C50" w:rsidP="003E1C50">
      <w:pPr>
        <w:rPr>
          <w:rFonts w:ascii="Calibri" w:eastAsia="Calibri" w:hAnsi="Calibri" w:cs="Times New Roman"/>
          <w:lang w:val="en-CA"/>
        </w:rPr>
      </w:pPr>
      <w:r w:rsidRPr="000262B5">
        <w:rPr>
          <w:rFonts w:ascii="Calibri" w:eastAsia="Calibri" w:hAnsi="Calibri" w:cs="Times New Roman"/>
          <w:b/>
          <w:lang w:val="en-CA"/>
        </w:rPr>
        <w:t>Mission:</w:t>
      </w:r>
      <w:r w:rsidRPr="000262B5">
        <w:rPr>
          <w:rFonts w:ascii="Calibri" w:eastAsia="Calibri" w:hAnsi="Calibri" w:cs="Times New Roman"/>
          <w:lang w:val="en-CA"/>
        </w:rPr>
        <w:t xml:space="preserve">  </w:t>
      </w:r>
      <w:r w:rsidRPr="000262B5">
        <w:rPr>
          <w:rFonts w:ascii="Calibri" w:eastAsia="Calibri" w:hAnsi="Calibri" w:cs="Times New Roman"/>
          <w:lang w:val="en-CA"/>
        </w:rPr>
        <w:br/>
      </w:r>
      <w:r w:rsidRPr="000262B5">
        <w:rPr>
          <w:rFonts w:ascii="Calibri" w:eastAsia="Calibri" w:hAnsi="Calibri" w:cs="Times New Roman"/>
          <w:lang w:val="en-CA"/>
        </w:rPr>
        <w:br/>
        <w:t>To work collaboratively across jurisdictions and between the education and health sectors to support optimal health, well-being, and learning of children and youth in school communities</w:t>
      </w:r>
      <w:r w:rsidRPr="000262B5">
        <w:rPr>
          <w:rFonts w:ascii="Calibri" w:eastAsia="Calibri" w:hAnsi="Calibri" w:cs="Times New Roman"/>
          <w:lang w:val="en-CA"/>
        </w:rPr>
        <w:br/>
      </w:r>
      <w:r w:rsidRPr="000262B5">
        <w:rPr>
          <w:rFonts w:ascii="Calibri" w:eastAsia="Calibri" w:hAnsi="Calibri" w:cs="Times New Roman"/>
          <w:lang w:val="en-CA"/>
        </w:rPr>
        <w:br/>
      </w:r>
      <w:r w:rsidRPr="000262B5">
        <w:rPr>
          <w:rFonts w:ascii="Calibri" w:eastAsia="Calibri" w:hAnsi="Calibri" w:cs="Times New Roman"/>
          <w:b/>
          <w:lang w:val="en-CA"/>
        </w:rPr>
        <w:t xml:space="preserve">Values: </w:t>
      </w:r>
      <w:r w:rsidRPr="000262B5">
        <w:rPr>
          <w:rFonts w:ascii="Calibri" w:eastAsia="Calibri" w:hAnsi="Calibri" w:cs="Times New Roman"/>
          <w:b/>
          <w:lang w:val="en-CA"/>
        </w:rPr>
        <w:br/>
      </w:r>
      <w:r w:rsidRPr="000262B5">
        <w:rPr>
          <w:rFonts w:ascii="Calibri" w:eastAsia="Calibri" w:hAnsi="Calibri" w:cs="Times New Roman"/>
          <w:b/>
          <w:lang w:val="en-CA"/>
        </w:rPr>
        <w:br/>
      </w:r>
      <w:r w:rsidRPr="000262B5">
        <w:rPr>
          <w:rFonts w:ascii="Calibri" w:eastAsia="Calibri" w:hAnsi="Calibri" w:cs="Times New Roman"/>
          <w:lang w:val="en-CA"/>
        </w:rPr>
        <w:t xml:space="preserve">Collaboration </w:t>
      </w:r>
      <w:r w:rsidRPr="000262B5">
        <w:rPr>
          <w:rFonts w:ascii="Calibri" w:eastAsia="Calibri" w:hAnsi="Calibri" w:cs="Calibri"/>
          <w:lang w:val="en-CA"/>
        </w:rPr>
        <w:t>●</w:t>
      </w:r>
      <w:r w:rsidRPr="000262B5">
        <w:rPr>
          <w:rFonts w:ascii="Calibri" w:eastAsia="Calibri" w:hAnsi="Calibri" w:cs="Times New Roman"/>
          <w:lang w:val="en-CA"/>
        </w:rPr>
        <w:t xml:space="preserve"> Diversity &amp; Inclusion </w:t>
      </w:r>
      <w:r w:rsidRPr="000262B5">
        <w:rPr>
          <w:rFonts w:ascii="Calibri" w:eastAsia="Calibri" w:hAnsi="Calibri" w:cs="Calibri"/>
          <w:lang w:val="en-CA"/>
        </w:rPr>
        <w:t>●</w:t>
      </w:r>
      <w:r w:rsidRPr="000262B5">
        <w:rPr>
          <w:rFonts w:ascii="Calibri" w:eastAsia="Calibri" w:hAnsi="Calibri" w:cs="Times New Roman"/>
          <w:lang w:val="en-CA"/>
        </w:rPr>
        <w:t xml:space="preserve"> Equity </w:t>
      </w:r>
      <w:r w:rsidRPr="000262B5">
        <w:rPr>
          <w:rFonts w:ascii="Calibri" w:eastAsia="Calibri" w:hAnsi="Calibri" w:cs="Calibri"/>
          <w:lang w:val="en-CA"/>
        </w:rPr>
        <w:t>●</w:t>
      </w:r>
      <w:r w:rsidRPr="000262B5">
        <w:rPr>
          <w:rFonts w:ascii="Calibri" w:eastAsia="Calibri" w:hAnsi="Calibri" w:cs="Times New Roman"/>
          <w:lang w:val="en-CA"/>
        </w:rPr>
        <w:t xml:space="preserve"> Evidence-Informed Practice </w:t>
      </w:r>
      <w:r w:rsidRPr="000262B5">
        <w:rPr>
          <w:rFonts w:ascii="Calibri" w:eastAsia="Calibri" w:hAnsi="Calibri" w:cs="Calibri"/>
          <w:lang w:val="en-CA"/>
        </w:rPr>
        <w:t>●</w:t>
      </w:r>
      <w:r w:rsidRPr="000262B5">
        <w:rPr>
          <w:rFonts w:ascii="Calibri" w:eastAsia="Calibri" w:hAnsi="Calibri" w:cs="Times New Roman"/>
          <w:lang w:val="en-CA"/>
        </w:rPr>
        <w:t xml:space="preserve"> Innovation </w:t>
      </w:r>
      <w:r w:rsidRPr="000262B5">
        <w:rPr>
          <w:rFonts w:ascii="Calibri" w:eastAsia="Calibri" w:hAnsi="Calibri" w:cs="Calibri"/>
          <w:lang w:val="en-CA"/>
        </w:rPr>
        <w:t>●</w:t>
      </w:r>
      <w:r w:rsidRPr="000262B5">
        <w:rPr>
          <w:rFonts w:ascii="Calibri" w:eastAsia="Calibri" w:hAnsi="Calibri" w:cs="Times New Roman"/>
          <w:lang w:val="en-CA"/>
        </w:rPr>
        <w:t xml:space="preserve"> Accountability </w:t>
      </w:r>
      <w:r w:rsidRPr="000262B5">
        <w:rPr>
          <w:rFonts w:ascii="Calibri" w:eastAsia="Calibri" w:hAnsi="Calibri" w:cs="Calibri"/>
          <w:lang w:val="en-CA"/>
        </w:rPr>
        <w:t>●</w:t>
      </w:r>
      <w:r w:rsidRPr="000262B5">
        <w:rPr>
          <w:rFonts w:ascii="Calibri" w:eastAsia="Calibri" w:hAnsi="Calibri" w:cs="Times New Roman"/>
          <w:lang w:val="en-CA"/>
        </w:rPr>
        <w:t xml:space="preserve"> Efficiency </w:t>
      </w:r>
      <w:r w:rsidRPr="000262B5">
        <w:rPr>
          <w:rFonts w:ascii="Calibri" w:eastAsia="Calibri" w:hAnsi="Calibri" w:cs="Calibri"/>
          <w:lang w:val="en-CA"/>
        </w:rPr>
        <w:t xml:space="preserve">● </w:t>
      </w:r>
      <w:r w:rsidRPr="000262B5">
        <w:rPr>
          <w:rFonts w:ascii="Calibri" w:eastAsia="Calibri" w:hAnsi="Calibri" w:cs="Times New Roman"/>
          <w:lang w:val="en-CA"/>
        </w:rPr>
        <w:t>Knowledge Mobilization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3001"/>
        <w:gridCol w:w="2236"/>
        <w:gridCol w:w="2569"/>
        <w:gridCol w:w="2570"/>
      </w:tblGrid>
      <w:tr w:rsidR="003E1C50" w:rsidTr="003E1C50">
        <w:trPr>
          <w:tblHeader/>
        </w:trPr>
        <w:tc>
          <w:tcPr>
            <w:tcW w:w="12950" w:type="dxa"/>
            <w:gridSpan w:val="5"/>
          </w:tcPr>
          <w:p w:rsidR="003E1C50" w:rsidRDefault="003E1C50">
            <w:r>
              <w:rPr>
                <w:b/>
                <w:i/>
              </w:rPr>
              <w:t xml:space="preserve">Goal </w:t>
            </w:r>
            <w:r w:rsidRPr="006D355D">
              <w:rPr>
                <w:b/>
                <w:i/>
              </w:rPr>
              <w:t xml:space="preserve">1) </w:t>
            </w:r>
            <w:r>
              <w:rPr>
                <w:b/>
                <w:i/>
              </w:rPr>
              <w:t xml:space="preserve">Providing </w:t>
            </w:r>
            <w:r w:rsidRPr="006D355D">
              <w:rPr>
                <w:b/>
                <w:i/>
              </w:rPr>
              <w:t>Leadership</w:t>
            </w:r>
            <w:r>
              <w:br/>
            </w:r>
            <w:r w:rsidRPr="00A72E29">
              <w:t>To advance coordinated and aligned policy, programs</w:t>
            </w:r>
            <w:r>
              <w:t>,</w:t>
            </w:r>
            <w:r w:rsidRPr="00A72E29">
              <w:t xml:space="preserve"> and practice that support the optimal health, well-being, and learning </w:t>
            </w:r>
            <w:r>
              <w:t>of children and youth in Canada</w:t>
            </w:r>
          </w:p>
        </w:tc>
      </w:tr>
      <w:tr w:rsidR="003E1C50" w:rsidTr="003B23A0">
        <w:trPr>
          <w:tblHeader/>
        </w:trPr>
        <w:tc>
          <w:tcPr>
            <w:tcW w:w="2574" w:type="dxa"/>
          </w:tcPr>
          <w:p w:rsidR="003E1C50" w:rsidRDefault="003E1C50" w:rsidP="003E1C50"/>
        </w:tc>
        <w:tc>
          <w:tcPr>
            <w:tcW w:w="3001" w:type="dxa"/>
          </w:tcPr>
          <w:p w:rsidR="003E1C50" w:rsidRPr="00396F1E" w:rsidRDefault="003E1C50" w:rsidP="003E1C50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2236" w:type="dxa"/>
          </w:tcPr>
          <w:p w:rsidR="003E1C50" w:rsidRPr="00396F1E" w:rsidRDefault="003E1C50" w:rsidP="003E1C50">
            <w:pPr>
              <w:jc w:val="center"/>
              <w:rPr>
                <w:b/>
              </w:rPr>
            </w:pPr>
            <w:r w:rsidRPr="00396F1E">
              <w:rPr>
                <w:b/>
              </w:rPr>
              <w:t>Actions</w:t>
            </w:r>
          </w:p>
        </w:tc>
        <w:tc>
          <w:tcPr>
            <w:tcW w:w="2569" w:type="dxa"/>
          </w:tcPr>
          <w:p w:rsidR="003E1C50" w:rsidRDefault="003E1C50" w:rsidP="003E1C50">
            <w:pPr>
              <w:jc w:val="center"/>
              <w:rPr>
                <w:b/>
              </w:rPr>
            </w:pPr>
            <w:r>
              <w:rPr>
                <w:b/>
              </w:rPr>
              <w:t>Timelines</w:t>
            </w:r>
          </w:p>
        </w:tc>
        <w:tc>
          <w:tcPr>
            <w:tcW w:w="2570" w:type="dxa"/>
          </w:tcPr>
          <w:p w:rsidR="003E1C50" w:rsidRPr="00396F1E" w:rsidRDefault="003E1C50" w:rsidP="003E1C50">
            <w:pPr>
              <w:jc w:val="center"/>
              <w:rPr>
                <w:b/>
              </w:rPr>
            </w:pPr>
            <w:r>
              <w:rPr>
                <w:b/>
              </w:rPr>
              <w:t>Long-term Outcomes</w:t>
            </w:r>
          </w:p>
        </w:tc>
      </w:tr>
      <w:tr w:rsidR="003E1C50" w:rsidTr="003B23A0">
        <w:tc>
          <w:tcPr>
            <w:tcW w:w="2574" w:type="dxa"/>
          </w:tcPr>
          <w:p w:rsidR="003E1C50" w:rsidRDefault="003E1C50" w:rsidP="003E1C50"/>
        </w:tc>
        <w:tc>
          <w:tcPr>
            <w:tcW w:w="3001" w:type="dxa"/>
          </w:tcPr>
          <w:p w:rsidR="003E1C50" w:rsidRDefault="003E1C50" w:rsidP="003E1C50">
            <w:r w:rsidRPr="006D7269">
              <w:rPr>
                <w:b/>
              </w:rPr>
              <w:t>Strategy 1:</w:t>
            </w:r>
            <w:r w:rsidRPr="006D7269">
              <w:t xml:space="preserve">  Strengthen connections with the Council of Ministers of Education, Canada and the FPT Ministers of Health to encourage alignment of priorities and needs.</w:t>
            </w:r>
          </w:p>
        </w:tc>
        <w:tc>
          <w:tcPr>
            <w:tcW w:w="2236" w:type="dxa"/>
          </w:tcPr>
          <w:p w:rsidR="003E1C50" w:rsidRDefault="003E1C50" w:rsidP="003E1C50"/>
        </w:tc>
        <w:tc>
          <w:tcPr>
            <w:tcW w:w="2569" w:type="dxa"/>
          </w:tcPr>
          <w:p w:rsidR="003E1C50" w:rsidRDefault="003E1C50" w:rsidP="003E1C50"/>
        </w:tc>
        <w:tc>
          <w:tcPr>
            <w:tcW w:w="2570" w:type="dxa"/>
          </w:tcPr>
          <w:p w:rsidR="003E1C50" w:rsidRDefault="003E1C50" w:rsidP="003E1C50"/>
        </w:tc>
      </w:tr>
      <w:tr w:rsidR="003E1C50" w:rsidTr="003B23A0">
        <w:tc>
          <w:tcPr>
            <w:tcW w:w="2574" w:type="dxa"/>
          </w:tcPr>
          <w:p w:rsidR="003E1C50" w:rsidRDefault="003E1C50" w:rsidP="003E1C50"/>
        </w:tc>
        <w:tc>
          <w:tcPr>
            <w:tcW w:w="3001" w:type="dxa"/>
          </w:tcPr>
          <w:p w:rsidR="003E1C50" w:rsidRDefault="003E1C50" w:rsidP="003E1C50">
            <w:r w:rsidRPr="000262B5">
              <w:rPr>
                <w:rFonts w:ascii="Calibri" w:eastAsia="Calibri" w:hAnsi="Calibri" w:cs="Times New Roman"/>
                <w:b/>
                <w:lang w:val="en-CA"/>
              </w:rPr>
              <w:t>Strategy 2:</w:t>
            </w:r>
            <w:r w:rsidRPr="000262B5">
              <w:rPr>
                <w:rFonts w:ascii="Calibri" w:eastAsia="Calibri" w:hAnsi="Calibri" w:cs="Times New Roman"/>
                <w:lang w:val="en-CA"/>
              </w:rPr>
              <w:t xml:space="preserve"> </w:t>
            </w:r>
            <w:r w:rsidRPr="000262B5">
              <w:rPr>
                <w:rFonts w:ascii="Calibri" w:eastAsia="Calibri" w:hAnsi="Calibri" w:cs="Times New Roman"/>
                <w:lang w:val="en-CA"/>
              </w:rPr>
              <w:br/>
              <w:t xml:space="preserve">Continue to support member </w:t>
            </w:r>
            <w:r w:rsidRPr="000262B5">
              <w:rPr>
                <w:rFonts w:ascii="Calibri" w:eastAsia="Calibri" w:hAnsi="Calibri" w:cs="Times New Roman"/>
                <w:lang w:val="en-CA"/>
              </w:rPr>
              <w:lastRenderedPageBreak/>
              <w:t>jurisdictions with policy and practice-based tools and resources that leverage a comprehensive school health approach.</w:t>
            </w:r>
          </w:p>
        </w:tc>
        <w:tc>
          <w:tcPr>
            <w:tcW w:w="2236" w:type="dxa"/>
          </w:tcPr>
          <w:p w:rsidR="003E1C50" w:rsidRDefault="003E1C50" w:rsidP="003E1C50"/>
        </w:tc>
        <w:tc>
          <w:tcPr>
            <w:tcW w:w="2569" w:type="dxa"/>
          </w:tcPr>
          <w:p w:rsidR="003E1C50" w:rsidRDefault="003E1C50" w:rsidP="003E1C50"/>
        </w:tc>
        <w:tc>
          <w:tcPr>
            <w:tcW w:w="2570" w:type="dxa"/>
          </w:tcPr>
          <w:p w:rsidR="003E1C50" w:rsidRDefault="003E1C50" w:rsidP="003E1C50"/>
        </w:tc>
      </w:tr>
      <w:tr w:rsidR="003E1C50" w:rsidTr="003B23A0">
        <w:tc>
          <w:tcPr>
            <w:tcW w:w="2574" w:type="dxa"/>
          </w:tcPr>
          <w:p w:rsidR="003E1C50" w:rsidRDefault="003E1C50" w:rsidP="003E1C50"/>
        </w:tc>
        <w:tc>
          <w:tcPr>
            <w:tcW w:w="3001" w:type="dxa"/>
          </w:tcPr>
          <w:p w:rsidR="003E1C50" w:rsidRDefault="003E1C50" w:rsidP="003E1C50">
            <w:r w:rsidRPr="000262B5">
              <w:rPr>
                <w:rFonts w:ascii="Calibri" w:eastAsia="Calibri" w:hAnsi="Calibri" w:cs="Times New Roman"/>
                <w:b/>
                <w:lang w:val="en-CA"/>
              </w:rPr>
              <w:t>Strategy 3:</w:t>
            </w:r>
            <w:r w:rsidRPr="000262B5">
              <w:rPr>
                <w:rFonts w:ascii="Calibri" w:eastAsia="Calibri" w:hAnsi="Calibri" w:cs="Times New Roman"/>
                <w:lang w:val="en-CA"/>
              </w:rPr>
              <w:t xml:space="preserve">  </w:t>
            </w:r>
            <w:r w:rsidRPr="000262B5">
              <w:rPr>
                <w:rFonts w:ascii="Calibri" w:eastAsia="Calibri" w:hAnsi="Calibri" w:cs="Times New Roman"/>
                <w:lang w:val="en-CA"/>
              </w:rPr>
              <w:br/>
              <w:t>Proactively engage with federal initiatives focused on student health and well-being to align with efforts within jurisdictions and encourage principles of CSH to be embedded and visible within these federal initiatives.</w:t>
            </w:r>
          </w:p>
        </w:tc>
        <w:tc>
          <w:tcPr>
            <w:tcW w:w="2236" w:type="dxa"/>
          </w:tcPr>
          <w:p w:rsidR="003E1C50" w:rsidRDefault="003E1C50" w:rsidP="003E1C50"/>
        </w:tc>
        <w:tc>
          <w:tcPr>
            <w:tcW w:w="2569" w:type="dxa"/>
          </w:tcPr>
          <w:p w:rsidR="003E1C50" w:rsidRDefault="003E1C50" w:rsidP="003E1C50"/>
        </w:tc>
        <w:tc>
          <w:tcPr>
            <w:tcW w:w="2570" w:type="dxa"/>
          </w:tcPr>
          <w:p w:rsidR="003E1C50" w:rsidRDefault="003E1C50" w:rsidP="003E1C50"/>
        </w:tc>
      </w:tr>
      <w:tr w:rsidR="003E1C50" w:rsidTr="003B23A0">
        <w:tc>
          <w:tcPr>
            <w:tcW w:w="2574" w:type="dxa"/>
          </w:tcPr>
          <w:p w:rsidR="003E1C50" w:rsidRDefault="003E1C50" w:rsidP="003E1C50"/>
        </w:tc>
        <w:tc>
          <w:tcPr>
            <w:tcW w:w="3001" w:type="dxa"/>
          </w:tcPr>
          <w:p w:rsidR="003E1C50" w:rsidRDefault="003E1C50" w:rsidP="003E1C50">
            <w:r w:rsidRPr="006D7269">
              <w:rPr>
                <w:b/>
              </w:rPr>
              <w:t xml:space="preserve">Strategy 4: </w:t>
            </w:r>
            <w:r>
              <w:br/>
            </w:r>
            <w:r w:rsidRPr="006D7269">
              <w:t>Continue to strategically engage representatives of the non-government sector, and key stakeholders in sectors beyond health/</w:t>
            </w:r>
            <w:r w:rsidR="00586E36">
              <w:t xml:space="preserve"> </w:t>
            </w:r>
            <w:r w:rsidRPr="006D7269">
              <w:t>wellness/</w:t>
            </w:r>
            <w:r w:rsidR="00586E36">
              <w:t xml:space="preserve"> </w:t>
            </w:r>
            <w:r w:rsidRPr="006D7269">
              <w:t>education, in order to advance CSH-based approaches to common needs and issues.</w:t>
            </w:r>
          </w:p>
        </w:tc>
        <w:tc>
          <w:tcPr>
            <w:tcW w:w="2236" w:type="dxa"/>
          </w:tcPr>
          <w:p w:rsidR="003E1C50" w:rsidRDefault="003E1C50" w:rsidP="003E1C50"/>
        </w:tc>
        <w:tc>
          <w:tcPr>
            <w:tcW w:w="2569" w:type="dxa"/>
          </w:tcPr>
          <w:p w:rsidR="003E1C50" w:rsidRDefault="003E1C50" w:rsidP="003E1C50"/>
        </w:tc>
        <w:tc>
          <w:tcPr>
            <w:tcW w:w="2570" w:type="dxa"/>
          </w:tcPr>
          <w:p w:rsidR="003E1C50" w:rsidRDefault="003E1C50" w:rsidP="003E1C50"/>
        </w:tc>
      </w:tr>
    </w:tbl>
    <w:p w:rsidR="003E1C50" w:rsidRDefault="003E1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3001"/>
        <w:gridCol w:w="2236"/>
        <w:gridCol w:w="2569"/>
        <w:gridCol w:w="2570"/>
      </w:tblGrid>
      <w:tr w:rsidR="003E1C50" w:rsidTr="003E1C50">
        <w:trPr>
          <w:tblHeader/>
        </w:trPr>
        <w:tc>
          <w:tcPr>
            <w:tcW w:w="12950" w:type="dxa"/>
            <w:gridSpan w:val="5"/>
          </w:tcPr>
          <w:p w:rsidR="003E1C50" w:rsidRPr="003E1C50" w:rsidRDefault="003E1C50" w:rsidP="003E1C50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Goal </w:t>
            </w:r>
            <w:r w:rsidRPr="003E1C50">
              <w:rPr>
                <w:b/>
                <w:i/>
              </w:rPr>
              <w:t>2) Enhancing Capacity Through Knowledge Development &amp; Exchange</w:t>
            </w:r>
          </w:p>
          <w:p w:rsidR="003E1C50" w:rsidRDefault="003E1C50" w:rsidP="003E1C50">
            <w:r w:rsidRPr="003E1C50">
              <w:t>To build, share, and leverage knowledge that enables member jurisdictions to support the optimal health, well-being, and learning of children and youth in Canada</w:t>
            </w:r>
          </w:p>
        </w:tc>
      </w:tr>
      <w:tr w:rsidR="003E1C50" w:rsidTr="003B23A0">
        <w:trPr>
          <w:tblHeader/>
        </w:trPr>
        <w:tc>
          <w:tcPr>
            <w:tcW w:w="2574" w:type="dxa"/>
          </w:tcPr>
          <w:p w:rsidR="003E1C50" w:rsidRDefault="003E1C50" w:rsidP="003E1C50"/>
        </w:tc>
        <w:tc>
          <w:tcPr>
            <w:tcW w:w="3001" w:type="dxa"/>
          </w:tcPr>
          <w:p w:rsidR="003E1C50" w:rsidRPr="00396F1E" w:rsidRDefault="003E1C50" w:rsidP="003E1C50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2236" w:type="dxa"/>
          </w:tcPr>
          <w:p w:rsidR="003E1C50" w:rsidRPr="00396F1E" w:rsidRDefault="003E1C50" w:rsidP="003E1C50">
            <w:pPr>
              <w:jc w:val="center"/>
              <w:rPr>
                <w:b/>
              </w:rPr>
            </w:pPr>
            <w:r w:rsidRPr="00396F1E">
              <w:rPr>
                <w:b/>
              </w:rPr>
              <w:t>Actions</w:t>
            </w:r>
          </w:p>
        </w:tc>
        <w:tc>
          <w:tcPr>
            <w:tcW w:w="2569" w:type="dxa"/>
          </w:tcPr>
          <w:p w:rsidR="003E1C50" w:rsidRDefault="003E1C50" w:rsidP="003E1C50">
            <w:pPr>
              <w:jc w:val="center"/>
              <w:rPr>
                <w:b/>
              </w:rPr>
            </w:pPr>
            <w:r>
              <w:rPr>
                <w:b/>
              </w:rPr>
              <w:t>Timelines</w:t>
            </w:r>
          </w:p>
        </w:tc>
        <w:tc>
          <w:tcPr>
            <w:tcW w:w="2570" w:type="dxa"/>
          </w:tcPr>
          <w:p w:rsidR="003E1C50" w:rsidRPr="00396F1E" w:rsidRDefault="003E1C50" w:rsidP="003E1C50">
            <w:pPr>
              <w:jc w:val="center"/>
              <w:rPr>
                <w:b/>
              </w:rPr>
            </w:pPr>
            <w:r>
              <w:rPr>
                <w:b/>
              </w:rPr>
              <w:t>Long-term Outcomes</w:t>
            </w:r>
          </w:p>
        </w:tc>
      </w:tr>
      <w:tr w:rsidR="003E1C50" w:rsidTr="003B23A0">
        <w:tc>
          <w:tcPr>
            <w:tcW w:w="2574" w:type="dxa"/>
          </w:tcPr>
          <w:p w:rsidR="003E1C50" w:rsidRDefault="003E1C50" w:rsidP="003E1C50"/>
        </w:tc>
        <w:tc>
          <w:tcPr>
            <w:tcW w:w="3001" w:type="dxa"/>
          </w:tcPr>
          <w:p w:rsidR="003E1C50" w:rsidRDefault="003E1C50" w:rsidP="003E1C50">
            <w:r w:rsidRPr="006D7269">
              <w:rPr>
                <w:b/>
              </w:rPr>
              <w:t xml:space="preserve">Strategy 1:  </w:t>
            </w:r>
            <w:r>
              <w:br/>
            </w:r>
            <w:r w:rsidRPr="006D7269">
              <w:t>Support member jurisdictions to be responsive, resource efficient, and economically responsible by sharing knowledge of what works best and has the greatest positive impact.</w:t>
            </w:r>
          </w:p>
        </w:tc>
        <w:tc>
          <w:tcPr>
            <w:tcW w:w="2236" w:type="dxa"/>
          </w:tcPr>
          <w:p w:rsidR="003E1C50" w:rsidRDefault="003E1C50" w:rsidP="003E1C50"/>
        </w:tc>
        <w:tc>
          <w:tcPr>
            <w:tcW w:w="2569" w:type="dxa"/>
          </w:tcPr>
          <w:p w:rsidR="003E1C50" w:rsidRDefault="003E1C50" w:rsidP="003E1C50"/>
        </w:tc>
        <w:tc>
          <w:tcPr>
            <w:tcW w:w="2570" w:type="dxa"/>
          </w:tcPr>
          <w:p w:rsidR="003E1C50" w:rsidRDefault="003E1C50" w:rsidP="003E1C50"/>
        </w:tc>
      </w:tr>
      <w:tr w:rsidR="003E1C50" w:rsidTr="003B23A0">
        <w:tc>
          <w:tcPr>
            <w:tcW w:w="2574" w:type="dxa"/>
          </w:tcPr>
          <w:p w:rsidR="003E1C50" w:rsidRDefault="003E1C50" w:rsidP="003E1C50"/>
        </w:tc>
        <w:tc>
          <w:tcPr>
            <w:tcW w:w="3001" w:type="dxa"/>
          </w:tcPr>
          <w:p w:rsidR="003E1C50" w:rsidRDefault="003E1C50" w:rsidP="003E1C50">
            <w:r w:rsidRPr="000262B5">
              <w:rPr>
                <w:rFonts w:ascii="Calibri" w:eastAsia="Calibri" w:hAnsi="Calibri" w:cs="Times New Roman"/>
                <w:b/>
                <w:lang w:val="en-CA"/>
              </w:rPr>
              <w:t xml:space="preserve">Strategy 2:  </w:t>
            </w:r>
            <w:r w:rsidRPr="000262B5">
              <w:rPr>
                <w:rFonts w:ascii="Calibri" w:eastAsia="Calibri" w:hAnsi="Calibri" w:cs="Times New Roman"/>
                <w:lang w:val="en-CA"/>
              </w:rPr>
              <w:br/>
              <w:t>Identify and/or develop tools to strengthen existing partnerships across the education and health sectors.</w:t>
            </w:r>
          </w:p>
        </w:tc>
        <w:tc>
          <w:tcPr>
            <w:tcW w:w="2236" w:type="dxa"/>
          </w:tcPr>
          <w:p w:rsidR="003E1C50" w:rsidRDefault="003E1C50" w:rsidP="003E1C50"/>
        </w:tc>
        <w:tc>
          <w:tcPr>
            <w:tcW w:w="2569" w:type="dxa"/>
          </w:tcPr>
          <w:p w:rsidR="003E1C50" w:rsidRDefault="003E1C50" w:rsidP="003E1C50"/>
        </w:tc>
        <w:tc>
          <w:tcPr>
            <w:tcW w:w="2570" w:type="dxa"/>
          </w:tcPr>
          <w:p w:rsidR="003E1C50" w:rsidRDefault="003E1C50" w:rsidP="003E1C50"/>
        </w:tc>
      </w:tr>
      <w:tr w:rsidR="003E1C50" w:rsidTr="003B23A0">
        <w:tc>
          <w:tcPr>
            <w:tcW w:w="2574" w:type="dxa"/>
          </w:tcPr>
          <w:p w:rsidR="003E1C50" w:rsidRDefault="003E1C50" w:rsidP="003E1C50"/>
        </w:tc>
        <w:tc>
          <w:tcPr>
            <w:tcW w:w="3001" w:type="dxa"/>
          </w:tcPr>
          <w:p w:rsidR="003E1C50" w:rsidRDefault="003E1C50" w:rsidP="003E1C50">
            <w:r w:rsidRPr="006D7269">
              <w:rPr>
                <w:b/>
              </w:rPr>
              <w:t>Strategy 3:</w:t>
            </w:r>
            <w:r w:rsidRPr="006D7269">
              <w:t xml:space="preserve">  </w:t>
            </w:r>
            <w:r>
              <w:br/>
            </w:r>
            <w:r w:rsidRPr="006D7269">
              <w:t>Continue to strengthen knowledge on how CSH-based approaches can meet the needs of diverse population groups and address inequities.</w:t>
            </w:r>
          </w:p>
        </w:tc>
        <w:tc>
          <w:tcPr>
            <w:tcW w:w="2236" w:type="dxa"/>
          </w:tcPr>
          <w:p w:rsidR="003E1C50" w:rsidRDefault="003E1C50" w:rsidP="003E1C50"/>
        </w:tc>
        <w:tc>
          <w:tcPr>
            <w:tcW w:w="2569" w:type="dxa"/>
          </w:tcPr>
          <w:p w:rsidR="003E1C50" w:rsidRDefault="003E1C50" w:rsidP="003E1C50"/>
        </w:tc>
        <w:tc>
          <w:tcPr>
            <w:tcW w:w="2570" w:type="dxa"/>
          </w:tcPr>
          <w:p w:rsidR="003E1C50" w:rsidRDefault="003E1C50" w:rsidP="003E1C50"/>
        </w:tc>
      </w:tr>
      <w:tr w:rsidR="003E1C50" w:rsidTr="003B23A0">
        <w:tc>
          <w:tcPr>
            <w:tcW w:w="2574" w:type="dxa"/>
          </w:tcPr>
          <w:p w:rsidR="003E1C50" w:rsidRDefault="003E1C50" w:rsidP="003E1C50"/>
        </w:tc>
        <w:tc>
          <w:tcPr>
            <w:tcW w:w="3001" w:type="dxa"/>
          </w:tcPr>
          <w:p w:rsidR="003E1C50" w:rsidRDefault="003E1C50" w:rsidP="003E1C50">
            <w:r w:rsidRPr="000262B5">
              <w:rPr>
                <w:rFonts w:ascii="Calibri" w:eastAsia="Calibri" w:hAnsi="Calibri" w:cs="Times New Roman"/>
                <w:b/>
                <w:lang w:val="en-CA"/>
              </w:rPr>
              <w:t xml:space="preserve">Strategy 4:  </w:t>
            </w:r>
            <w:r w:rsidRPr="000262B5">
              <w:rPr>
                <w:rFonts w:ascii="Calibri" w:eastAsia="Calibri" w:hAnsi="Calibri" w:cs="Times New Roman"/>
                <w:lang w:val="en-CA"/>
              </w:rPr>
              <w:br/>
              <w:t>Increase and enhance opportunities for knowledge exchange among member jurisdictions.</w:t>
            </w:r>
          </w:p>
        </w:tc>
        <w:tc>
          <w:tcPr>
            <w:tcW w:w="2236" w:type="dxa"/>
          </w:tcPr>
          <w:p w:rsidR="003E1C50" w:rsidRDefault="003E1C50" w:rsidP="003E1C50"/>
        </w:tc>
        <w:tc>
          <w:tcPr>
            <w:tcW w:w="2569" w:type="dxa"/>
          </w:tcPr>
          <w:p w:rsidR="003E1C50" w:rsidRDefault="003E1C50" w:rsidP="003E1C50"/>
        </w:tc>
        <w:tc>
          <w:tcPr>
            <w:tcW w:w="2570" w:type="dxa"/>
          </w:tcPr>
          <w:p w:rsidR="003E1C50" w:rsidRDefault="003E1C50" w:rsidP="003E1C50"/>
        </w:tc>
      </w:tr>
    </w:tbl>
    <w:p w:rsidR="0034013C" w:rsidRDefault="00340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911"/>
        <w:gridCol w:w="2326"/>
        <w:gridCol w:w="2569"/>
        <w:gridCol w:w="2570"/>
      </w:tblGrid>
      <w:tr w:rsidR="003E1C50" w:rsidTr="0034013C">
        <w:trPr>
          <w:tblHeader/>
        </w:trPr>
        <w:tc>
          <w:tcPr>
            <w:tcW w:w="12950" w:type="dxa"/>
            <w:gridSpan w:val="5"/>
          </w:tcPr>
          <w:p w:rsidR="003E1C50" w:rsidRDefault="003E1C50" w:rsidP="003E1C50">
            <w:r>
              <w:rPr>
                <w:b/>
                <w:i/>
              </w:rPr>
              <w:t xml:space="preserve">Goal </w:t>
            </w:r>
            <w:r w:rsidRPr="006D355D">
              <w:rPr>
                <w:b/>
                <w:i/>
              </w:rPr>
              <w:t xml:space="preserve">3) </w:t>
            </w:r>
            <w:r>
              <w:rPr>
                <w:b/>
                <w:i/>
              </w:rPr>
              <w:t>Promoting Innovation</w:t>
            </w:r>
            <w:r>
              <w:rPr>
                <w:b/>
                <w:i/>
              </w:rPr>
              <w:br/>
            </w:r>
            <w:r w:rsidRPr="00A72E29">
              <w:t>To support innovative approaches to policy, programs, and practice in member jurisdictions that address common challenges to the optimal health, well-being, and learning of children and youth in Canada.</w:t>
            </w:r>
            <w:r w:rsidRPr="00A72E2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</w:tr>
      <w:tr w:rsidR="0034013C" w:rsidTr="003B23A0">
        <w:trPr>
          <w:tblHeader/>
        </w:trPr>
        <w:tc>
          <w:tcPr>
            <w:tcW w:w="2574" w:type="dxa"/>
          </w:tcPr>
          <w:p w:rsidR="0034013C" w:rsidRDefault="0034013C" w:rsidP="0034013C"/>
        </w:tc>
        <w:tc>
          <w:tcPr>
            <w:tcW w:w="2911" w:type="dxa"/>
          </w:tcPr>
          <w:p w:rsidR="0034013C" w:rsidRPr="00396F1E" w:rsidRDefault="0034013C" w:rsidP="0034013C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2326" w:type="dxa"/>
          </w:tcPr>
          <w:p w:rsidR="0034013C" w:rsidRPr="00396F1E" w:rsidRDefault="0034013C" w:rsidP="0034013C">
            <w:pPr>
              <w:jc w:val="center"/>
              <w:rPr>
                <w:b/>
              </w:rPr>
            </w:pPr>
            <w:r w:rsidRPr="00396F1E">
              <w:rPr>
                <w:b/>
              </w:rPr>
              <w:t>Actions</w:t>
            </w:r>
          </w:p>
        </w:tc>
        <w:tc>
          <w:tcPr>
            <w:tcW w:w="2569" w:type="dxa"/>
          </w:tcPr>
          <w:p w:rsidR="0034013C" w:rsidRDefault="0034013C" w:rsidP="0034013C">
            <w:pPr>
              <w:jc w:val="center"/>
              <w:rPr>
                <w:b/>
              </w:rPr>
            </w:pPr>
            <w:r>
              <w:rPr>
                <w:b/>
              </w:rPr>
              <w:t>Timelines</w:t>
            </w:r>
          </w:p>
        </w:tc>
        <w:tc>
          <w:tcPr>
            <w:tcW w:w="2570" w:type="dxa"/>
          </w:tcPr>
          <w:p w:rsidR="0034013C" w:rsidRPr="00396F1E" w:rsidRDefault="0034013C" w:rsidP="0034013C">
            <w:pPr>
              <w:jc w:val="center"/>
              <w:rPr>
                <w:b/>
              </w:rPr>
            </w:pPr>
            <w:r>
              <w:rPr>
                <w:b/>
              </w:rPr>
              <w:t>Long-term Outcomes</w:t>
            </w:r>
          </w:p>
        </w:tc>
      </w:tr>
      <w:tr w:rsidR="0034013C" w:rsidTr="003B23A0">
        <w:tc>
          <w:tcPr>
            <w:tcW w:w="2574" w:type="dxa"/>
          </w:tcPr>
          <w:p w:rsidR="0034013C" w:rsidRDefault="0034013C" w:rsidP="0034013C"/>
        </w:tc>
        <w:tc>
          <w:tcPr>
            <w:tcW w:w="2911" w:type="dxa"/>
          </w:tcPr>
          <w:p w:rsidR="0034013C" w:rsidRDefault="0034013C" w:rsidP="0034013C">
            <w:r w:rsidRPr="00EC2DAB">
              <w:rPr>
                <w:b/>
              </w:rPr>
              <w:t xml:space="preserve">Strategy 1:  </w:t>
            </w:r>
            <w:r>
              <w:br/>
            </w:r>
            <w:r w:rsidRPr="00EC2DAB">
              <w:t>Proactively identify and provide potential solutions to existing and emerging challenges to student health, well-being, and learning, and disseminate results among member jurisdictions.</w:t>
            </w:r>
          </w:p>
        </w:tc>
        <w:tc>
          <w:tcPr>
            <w:tcW w:w="2326" w:type="dxa"/>
          </w:tcPr>
          <w:p w:rsidR="0034013C" w:rsidRDefault="0034013C" w:rsidP="0034013C"/>
        </w:tc>
        <w:tc>
          <w:tcPr>
            <w:tcW w:w="2569" w:type="dxa"/>
          </w:tcPr>
          <w:p w:rsidR="0034013C" w:rsidRDefault="0034013C" w:rsidP="0034013C"/>
        </w:tc>
        <w:tc>
          <w:tcPr>
            <w:tcW w:w="2570" w:type="dxa"/>
          </w:tcPr>
          <w:p w:rsidR="0034013C" w:rsidRDefault="0034013C" w:rsidP="0034013C"/>
        </w:tc>
      </w:tr>
      <w:tr w:rsidR="0034013C" w:rsidTr="003B23A0">
        <w:tc>
          <w:tcPr>
            <w:tcW w:w="2574" w:type="dxa"/>
          </w:tcPr>
          <w:p w:rsidR="0034013C" w:rsidRDefault="0034013C" w:rsidP="0034013C"/>
        </w:tc>
        <w:tc>
          <w:tcPr>
            <w:tcW w:w="2911" w:type="dxa"/>
          </w:tcPr>
          <w:p w:rsidR="0034013C" w:rsidRDefault="0034013C" w:rsidP="0034013C">
            <w:r w:rsidRPr="00EC2DAB">
              <w:rPr>
                <w:b/>
              </w:rPr>
              <w:t xml:space="preserve">Strategy 2:  </w:t>
            </w:r>
            <w:r>
              <w:br/>
            </w:r>
            <w:r w:rsidRPr="00EC2DAB">
              <w:t>Utilizing a comprehensive school health approach, advance application of evidence to address emerging issues of concern (e.g. vaping).</w:t>
            </w:r>
          </w:p>
        </w:tc>
        <w:tc>
          <w:tcPr>
            <w:tcW w:w="2326" w:type="dxa"/>
          </w:tcPr>
          <w:p w:rsidR="0034013C" w:rsidRDefault="0034013C" w:rsidP="0034013C"/>
        </w:tc>
        <w:tc>
          <w:tcPr>
            <w:tcW w:w="2569" w:type="dxa"/>
          </w:tcPr>
          <w:p w:rsidR="0034013C" w:rsidRDefault="0034013C" w:rsidP="0034013C"/>
        </w:tc>
        <w:tc>
          <w:tcPr>
            <w:tcW w:w="2570" w:type="dxa"/>
          </w:tcPr>
          <w:p w:rsidR="0034013C" w:rsidRDefault="0034013C" w:rsidP="0034013C"/>
        </w:tc>
      </w:tr>
      <w:tr w:rsidR="0034013C" w:rsidTr="003B23A0">
        <w:tc>
          <w:tcPr>
            <w:tcW w:w="2574" w:type="dxa"/>
          </w:tcPr>
          <w:p w:rsidR="0034013C" w:rsidRDefault="0034013C" w:rsidP="0034013C"/>
        </w:tc>
        <w:tc>
          <w:tcPr>
            <w:tcW w:w="2911" w:type="dxa"/>
          </w:tcPr>
          <w:p w:rsidR="0034013C" w:rsidRDefault="0034013C" w:rsidP="0034013C">
            <w:r w:rsidRPr="00EC2DAB">
              <w:rPr>
                <w:b/>
              </w:rPr>
              <w:t xml:space="preserve">Strategy 3: </w:t>
            </w:r>
            <w:r>
              <w:br/>
            </w:r>
            <w:r w:rsidRPr="00EC2DAB">
              <w:t>Continue engaging research partners in order to create an evidence base of strategies to support student health, well-being, and learning and comprehensive school health approaches.</w:t>
            </w:r>
          </w:p>
        </w:tc>
        <w:tc>
          <w:tcPr>
            <w:tcW w:w="2326" w:type="dxa"/>
          </w:tcPr>
          <w:p w:rsidR="0034013C" w:rsidRDefault="0034013C" w:rsidP="0034013C"/>
        </w:tc>
        <w:tc>
          <w:tcPr>
            <w:tcW w:w="2569" w:type="dxa"/>
          </w:tcPr>
          <w:p w:rsidR="0034013C" w:rsidRDefault="0034013C" w:rsidP="0034013C"/>
        </w:tc>
        <w:tc>
          <w:tcPr>
            <w:tcW w:w="2570" w:type="dxa"/>
          </w:tcPr>
          <w:p w:rsidR="0034013C" w:rsidRDefault="0034013C" w:rsidP="0034013C"/>
        </w:tc>
      </w:tr>
      <w:tr w:rsidR="0034013C" w:rsidTr="003B23A0">
        <w:tc>
          <w:tcPr>
            <w:tcW w:w="2574" w:type="dxa"/>
          </w:tcPr>
          <w:p w:rsidR="0034013C" w:rsidRDefault="0034013C" w:rsidP="0034013C"/>
        </w:tc>
        <w:tc>
          <w:tcPr>
            <w:tcW w:w="2911" w:type="dxa"/>
          </w:tcPr>
          <w:p w:rsidR="0034013C" w:rsidRDefault="0034013C" w:rsidP="0034013C">
            <w:r w:rsidRPr="00EC2DAB">
              <w:rPr>
                <w:b/>
              </w:rPr>
              <w:t xml:space="preserve">Strategy 4:  </w:t>
            </w:r>
            <w:r>
              <w:br/>
            </w:r>
            <w:r w:rsidRPr="00EC2DAB">
              <w:t>Work with research partners to advance evidence-based reviews of resp</w:t>
            </w:r>
            <w:r>
              <w:t xml:space="preserve">onses to emerging challenges.  </w:t>
            </w:r>
          </w:p>
        </w:tc>
        <w:tc>
          <w:tcPr>
            <w:tcW w:w="2326" w:type="dxa"/>
          </w:tcPr>
          <w:p w:rsidR="0034013C" w:rsidRDefault="0034013C" w:rsidP="0034013C"/>
        </w:tc>
        <w:tc>
          <w:tcPr>
            <w:tcW w:w="2569" w:type="dxa"/>
          </w:tcPr>
          <w:p w:rsidR="0034013C" w:rsidRDefault="0034013C" w:rsidP="0034013C"/>
        </w:tc>
        <w:tc>
          <w:tcPr>
            <w:tcW w:w="2570" w:type="dxa"/>
          </w:tcPr>
          <w:p w:rsidR="0034013C" w:rsidRDefault="0034013C" w:rsidP="0034013C"/>
        </w:tc>
      </w:tr>
    </w:tbl>
    <w:p w:rsidR="0034013C" w:rsidRDefault="00340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3181"/>
        <w:gridCol w:w="2056"/>
        <w:gridCol w:w="2569"/>
        <w:gridCol w:w="2570"/>
      </w:tblGrid>
      <w:tr w:rsidR="0034013C" w:rsidTr="0034013C">
        <w:trPr>
          <w:tblHeader/>
        </w:trPr>
        <w:tc>
          <w:tcPr>
            <w:tcW w:w="12950" w:type="dxa"/>
            <w:gridSpan w:val="5"/>
          </w:tcPr>
          <w:p w:rsidR="0034013C" w:rsidRDefault="0034013C" w:rsidP="0034013C">
            <w:r>
              <w:rPr>
                <w:b/>
                <w:i/>
              </w:rPr>
              <w:t xml:space="preserve">Goal </w:t>
            </w:r>
            <w:r w:rsidRPr="006D355D">
              <w:rPr>
                <w:b/>
                <w:i/>
              </w:rPr>
              <w:t>4) Monitoring</w:t>
            </w:r>
            <w:r>
              <w:rPr>
                <w:b/>
                <w:i/>
              </w:rPr>
              <w:t>, Evaluation, and Accountability</w:t>
            </w:r>
            <w:r>
              <w:rPr>
                <w:b/>
                <w:i/>
              </w:rPr>
              <w:br/>
            </w:r>
            <w:r w:rsidRPr="00A72E29">
              <w:t>To implement a comprehensive evaluation framework for the goals, strategies, and operational plans of the JCSH 2020-2025 mandate.</w:t>
            </w:r>
          </w:p>
        </w:tc>
      </w:tr>
      <w:tr w:rsidR="0034013C" w:rsidTr="003B23A0">
        <w:trPr>
          <w:tblHeader/>
        </w:trPr>
        <w:tc>
          <w:tcPr>
            <w:tcW w:w="2574" w:type="dxa"/>
          </w:tcPr>
          <w:p w:rsidR="0034013C" w:rsidRDefault="0034013C" w:rsidP="0034013C"/>
        </w:tc>
        <w:tc>
          <w:tcPr>
            <w:tcW w:w="3181" w:type="dxa"/>
          </w:tcPr>
          <w:p w:rsidR="0034013C" w:rsidRPr="00396F1E" w:rsidRDefault="0034013C" w:rsidP="0034013C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2056" w:type="dxa"/>
          </w:tcPr>
          <w:p w:rsidR="0034013C" w:rsidRPr="00396F1E" w:rsidRDefault="0034013C" w:rsidP="0034013C">
            <w:pPr>
              <w:jc w:val="center"/>
              <w:rPr>
                <w:b/>
              </w:rPr>
            </w:pPr>
            <w:r w:rsidRPr="00396F1E">
              <w:rPr>
                <w:b/>
              </w:rPr>
              <w:t>Actions</w:t>
            </w:r>
          </w:p>
        </w:tc>
        <w:tc>
          <w:tcPr>
            <w:tcW w:w="2569" w:type="dxa"/>
          </w:tcPr>
          <w:p w:rsidR="0034013C" w:rsidRDefault="0034013C" w:rsidP="0034013C">
            <w:pPr>
              <w:jc w:val="center"/>
              <w:rPr>
                <w:b/>
              </w:rPr>
            </w:pPr>
            <w:r>
              <w:rPr>
                <w:b/>
              </w:rPr>
              <w:t>Timelines</w:t>
            </w:r>
          </w:p>
        </w:tc>
        <w:tc>
          <w:tcPr>
            <w:tcW w:w="2570" w:type="dxa"/>
          </w:tcPr>
          <w:p w:rsidR="0034013C" w:rsidRPr="00396F1E" w:rsidRDefault="0034013C" w:rsidP="0034013C">
            <w:pPr>
              <w:jc w:val="center"/>
              <w:rPr>
                <w:b/>
              </w:rPr>
            </w:pPr>
            <w:r>
              <w:rPr>
                <w:b/>
              </w:rPr>
              <w:t>Long-term Outcomes</w:t>
            </w:r>
          </w:p>
        </w:tc>
      </w:tr>
      <w:tr w:rsidR="0034013C" w:rsidTr="003B23A0">
        <w:tc>
          <w:tcPr>
            <w:tcW w:w="2574" w:type="dxa"/>
          </w:tcPr>
          <w:p w:rsidR="0034013C" w:rsidRDefault="0034013C" w:rsidP="0034013C"/>
        </w:tc>
        <w:tc>
          <w:tcPr>
            <w:tcW w:w="3181" w:type="dxa"/>
          </w:tcPr>
          <w:p w:rsidR="0034013C" w:rsidRDefault="0034013C" w:rsidP="0034013C">
            <w:r w:rsidRPr="004D1EAA">
              <w:rPr>
                <w:b/>
              </w:rPr>
              <w:t xml:space="preserve">Strategy 1:  </w:t>
            </w:r>
            <w:r>
              <w:br/>
              <w:t>Develop annual JCSH operational plans and budgets that specify planned areas of actions to support the five-year JCSH goals and strategies.</w:t>
            </w:r>
          </w:p>
        </w:tc>
        <w:tc>
          <w:tcPr>
            <w:tcW w:w="2056" w:type="dxa"/>
          </w:tcPr>
          <w:p w:rsidR="0034013C" w:rsidRDefault="0034013C" w:rsidP="0034013C"/>
        </w:tc>
        <w:tc>
          <w:tcPr>
            <w:tcW w:w="2569" w:type="dxa"/>
          </w:tcPr>
          <w:p w:rsidR="0034013C" w:rsidRDefault="0034013C" w:rsidP="0034013C"/>
        </w:tc>
        <w:tc>
          <w:tcPr>
            <w:tcW w:w="2570" w:type="dxa"/>
          </w:tcPr>
          <w:p w:rsidR="0034013C" w:rsidRDefault="0034013C" w:rsidP="0034013C"/>
        </w:tc>
      </w:tr>
      <w:tr w:rsidR="0034013C" w:rsidTr="003B23A0">
        <w:tc>
          <w:tcPr>
            <w:tcW w:w="2574" w:type="dxa"/>
          </w:tcPr>
          <w:p w:rsidR="0034013C" w:rsidRDefault="0034013C" w:rsidP="0034013C"/>
        </w:tc>
        <w:tc>
          <w:tcPr>
            <w:tcW w:w="3181" w:type="dxa"/>
          </w:tcPr>
          <w:p w:rsidR="0034013C" w:rsidRDefault="0034013C" w:rsidP="0034013C">
            <w:r w:rsidRPr="004D1EAA">
              <w:rPr>
                <w:b/>
              </w:rPr>
              <w:t xml:space="preserve">Strategy 2:  </w:t>
            </w:r>
            <w:r>
              <w:br/>
              <w:t>Undertake a comprehensive evaluation of the JCSH during the mandate.</w:t>
            </w:r>
          </w:p>
        </w:tc>
        <w:tc>
          <w:tcPr>
            <w:tcW w:w="2056" w:type="dxa"/>
          </w:tcPr>
          <w:p w:rsidR="0034013C" w:rsidRDefault="0034013C" w:rsidP="0034013C"/>
        </w:tc>
        <w:tc>
          <w:tcPr>
            <w:tcW w:w="2569" w:type="dxa"/>
          </w:tcPr>
          <w:p w:rsidR="0034013C" w:rsidRDefault="0034013C" w:rsidP="0034013C"/>
        </w:tc>
        <w:tc>
          <w:tcPr>
            <w:tcW w:w="2570" w:type="dxa"/>
          </w:tcPr>
          <w:p w:rsidR="0034013C" w:rsidRDefault="0034013C" w:rsidP="0034013C"/>
        </w:tc>
      </w:tr>
      <w:tr w:rsidR="0034013C" w:rsidTr="003B23A0">
        <w:tc>
          <w:tcPr>
            <w:tcW w:w="2574" w:type="dxa"/>
          </w:tcPr>
          <w:p w:rsidR="0034013C" w:rsidRDefault="0034013C" w:rsidP="0034013C"/>
        </w:tc>
        <w:tc>
          <w:tcPr>
            <w:tcW w:w="3181" w:type="dxa"/>
          </w:tcPr>
          <w:p w:rsidR="0034013C" w:rsidRDefault="0034013C" w:rsidP="0034013C">
            <w:bookmarkStart w:id="0" w:name="_GoBack"/>
            <w:r w:rsidRPr="004D1EAA">
              <w:rPr>
                <w:b/>
              </w:rPr>
              <w:t>Strategy 3:</w:t>
            </w:r>
            <w:r>
              <w:t xml:space="preserve">  </w:t>
            </w:r>
            <w:r>
              <w:br/>
              <w:t xml:space="preserve">Support and ensure the ongoing alignment between the JCSH governance structure, the operational policies, and the </w:t>
            </w:r>
            <w:r>
              <w:lastRenderedPageBreak/>
              <w:t>implementation of the Strategic Directions.</w:t>
            </w:r>
            <w:bookmarkEnd w:id="0"/>
          </w:p>
        </w:tc>
        <w:tc>
          <w:tcPr>
            <w:tcW w:w="2056" w:type="dxa"/>
          </w:tcPr>
          <w:p w:rsidR="0034013C" w:rsidRDefault="0034013C" w:rsidP="0034013C"/>
        </w:tc>
        <w:tc>
          <w:tcPr>
            <w:tcW w:w="2569" w:type="dxa"/>
          </w:tcPr>
          <w:p w:rsidR="0034013C" w:rsidRDefault="0034013C" w:rsidP="0034013C"/>
        </w:tc>
        <w:tc>
          <w:tcPr>
            <w:tcW w:w="2570" w:type="dxa"/>
          </w:tcPr>
          <w:p w:rsidR="0034013C" w:rsidRDefault="0034013C" w:rsidP="0034013C"/>
        </w:tc>
      </w:tr>
    </w:tbl>
    <w:p w:rsidR="00CA0395" w:rsidRDefault="001A77AD"/>
    <w:sectPr w:rsidR="00CA0395" w:rsidSect="003E1C50">
      <w:headerReference w:type="default" r:id="rId6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50" w:rsidRDefault="003E1C50" w:rsidP="003E1C50">
      <w:pPr>
        <w:spacing w:after="0" w:line="240" w:lineRule="auto"/>
      </w:pPr>
      <w:r>
        <w:separator/>
      </w:r>
    </w:p>
  </w:endnote>
  <w:endnote w:type="continuationSeparator" w:id="0">
    <w:p w:rsidR="003E1C50" w:rsidRDefault="003E1C50" w:rsidP="003E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50" w:rsidRDefault="003E1C50" w:rsidP="003E1C50">
      <w:pPr>
        <w:spacing w:after="0" w:line="240" w:lineRule="auto"/>
      </w:pPr>
      <w:r>
        <w:separator/>
      </w:r>
    </w:p>
  </w:footnote>
  <w:footnote w:type="continuationSeparator" w:id="0">
    <w:p w:rsidR="003E1C50" w:rsidRDefault="003E1C50" w:rsidP="003E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50" w:rsidRDefault="003E1C50">
    <w:pPr>
      <w:pStyle w:val="Header"/>
    </w:pPr>
    <w:r>
      <w:rPr>
        <w:noProof/>
      </w:rPr>
      <w:drawing>
        <wp:inline distT="0" distB="0" distL="0" distR="0">
          <wp:extent cx="8229600" cy="1095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 Logo Horizontal Pan-Canadi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51" b="35193"/>
                  <a:stretch/>
                </pic:blipFill>
                <pic:spPr bwMode="auto">
                  <a:xfrm>
                    <a:off x="0" y="0"/>
                    <a:ext cx="822960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1C50" w:rsidRDefault="003E1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50"/>
    <w:rsid w:val="001A77AD"/>
    <w:rsid w:val="0034013C"/>
    <w:rsid w:val="003B23A0"/>
    <w:rsid w:val="003E1C50"/>
    <w:rsid w:val="00586E36"/>
    <w:rsid w:val="00873554"/>
    <w:rsid w:val="009648BC"/>
    <w:rsid w:val="00C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AE309C-95B7-4D5E-8B4F-9B69B74A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50"/>
  </w:style>
  <w:style w:type="paragraph" w:styleId="Footer">
    <w:name w:val="footer"/>
    <w:basedOn w:val="Normal"/>
    <w:link w:val="FooterChar"/>
    <w:uiPriority w:val="99"/>
    <w:unhideWhenUsed/>
    <w:rsid w:val="003E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50"/>
  </w:style>
  <w:style w:type="table" w:styleId="TableGrid">
    <w:name w:val="Table Grid"/>
    <w:basedOn w:val="TableNormal"/>
    <w:uiPriority w:val="39"/>
    <w:rsid w:val="003E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2020-03-03T16:27:00Z</dcterms:created>
  <dcterms:modified xsi:type="dcterms:W3CDTF">2020-03-03T16:27:00Z</dcterms:modified>
</cp:coreProperties>
</file>